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06" w:rsidRPr="00243A3F" w:rsidRDefault="00B368DB" w:rsidP="003E5F6A">
      <w:pPr>
        <w:pBdr>
          <w:bottom w:val="double" w:sz="18" w:space="1" w:color="002060"/>
        </w:pBdr>
        <w:shd w:val="clear" w:color="auto" w:fill="C6D9F1" w:themeFill="text2" w:themeFillTint="33"/>
        <w:spacing w:after="240" w:line="240" w:lineRule="auto"/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243A3F">
        <w:rPr>
          <w:rFonts w:ascii="Arial" w:hAnsi="Arial" w:cs="Arial"/>
          <w:b/>
          <w:color w:val="365F91" w:themeColor="accent1" w:themeShade="BF"/>
          <w:sz w:val="36"/>
          <w:szCs w:val="36"/>
        </w:rPr>
        <w:t>RESÍDUOS ELETRÔNICOS</w:t>
      </w:r>
    </w:p>
    <w:p w:rsidR="00B368DB" w:rsidRPr="007E731D" w:rsidRDefault="00B368DB" w:rsidP="004E56D8">
      <w:pPr>
        <w:spacing w:after="240" w:line="360" w:lineRule="auto"/>
        <w:ind w:left="1701" w:right="1134"/>
        <w:jc w:val="both"/>
        <w:rPr>
          <w:rFonts w:ascii="Times New Roman" w:hAnsi="Times New Roman" w:cs="Times New Roman"/>
          <w:sz w:val="26"/>
          <w:szCs w:val="26"/>
        </w:rPr>
      </w:pPr>
      <w:r w:rsidRPr="007E731D">
        <w:rPr>
          <w:rFonts w:ascii="Times New Roman" w:hAnsi="Times New Roman" w:cs="Times New Roman"/>
          <w:sz w:val="26"/>
          <w:szCs w:val="26"/>
        </w:rPr>
        <w:t xml:space="preserve">O resíduo computacional também conhecido como Resíduo eletrônico ou </w:t>
      </w:r>
      <w:r w:rsidRPr="004E56D8">
        <w:rPr>
          <w:rFonts w:ascii="Times New Roman" w:hAnsi="Times New Roman" w:cs="Times New Roman"/>
          <w:sz w:val="26"/>
          <w:szCs w:val="26"/>
          <w:u w:val="dashedHeavy" w:color="17365D" w:themeColor="text2" w:themeShade="BF"/>
        </w:rPr>
        <w:t>lixo eletrônico</w:t>
      </w:r>
      <w:r w:rsidRPr="007E731D">
        <w:rPr>
          <w:rFonts w:ascii="Times New Roman" w:hAnsi="Times New Roman" w:cs="Times New Roman"/>
          <w:sz w:val="26"/>
          <w:szCs w:val="26"/>
        </w:rPr>
        <w:t xml:space="preserve"> é o termo utilizado para qualificar equipamentos </w:t>
      </w:r>
      <w:r w:rsidRPr="004E56D8">
        <w:rPr>
          <w:rFonts w:ascii="Times New Roman" w:hAnsi="Times New Roman" w:cs="Times New Roman"/>
          <w:b/>
          <w:sz w:val="26"/>
          <w:szCs w:val="26"/>
          <w:highlight w:val="lightGray"/>
        </w:rPr>
        <w:t>eletroeletrônicos</w:t>
      </w:r>
      <w:r w:rsidRPr="007E731D">
        <w:rPr>
          <w:rFonts w:ascii="Times New Roman" w:hAnsi="Times New Roman" w:cs="Times New Roman"/>
          <w:sz w:val="26"/>
          <w:szCs w:val="26"/>
        </w:rPr>
        <w:t xml:space="preserve"> descartados.</w:t>
      </w:r>
    </w:p>
    <w:p w:rsidR="00A96C9D" w:rsidRPr="00A96C9D" w:rsidRDefault="00A96C9D" w:rsidP="00A96C9D">
      <w:pPr>
        <w:keepNext/>
        <w:framePr w:dropCap="drop" w:lines="2" w:hSpace="397" w:wrap="around" w:vAnchor="text" w:hAnchor="text"/>
        <w:spacing w:after="0" w:line="869" w:lineRule="exact"/>
        <w:ind w:firstLine="1701"/>
        <w:jc w:val="both"/>
        <w:textAlignment w:val="baseline"/>
        <w:rPr>
          <w:rFonts w:ascii="Times New Roman" w:hAnsi="Times New Roman" w:cs="Times New Roman"/>
          <w:noProof/>
          <w:position w:val="3"/>
          <w:sz w:val="90"/>
          <w:szCs w:val="24"/>
          <w:lang w:eastAsia="pt-BR"/>
        </w:rPr>
      </w:pPr>
      <w:r w:rsidRPr="00A96C9D">
        <w:rPr>
          <w:rFonts w:ascii="Times New Roman" w:hAnsi="Times New Roman" w:cs="Times New Roman"/>
          <w:position w:val="3"/>
          <w:sz w:val="90"/>
          <w:szCs w:val="24"/>
        </w:rPr>
        <w:t>O</w:t>
      </w:r>
    </w:p>
    <w:p w:rsidR="00293FCE" w:rsidRPr="00A752B4" w:rsidRDefault="00A469FF" w:rsidP="00A96C9D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2485390</wp:posOffset>
            </wp:positionH>
            <wp:positionV relativeFrom="paragraph">
              <wp:posOffset>478155</wp:posOffset>
            </wp:positionV>
            <wp:extent cx="744220" cy="539750"/>
            <wp:effectExtent l="19050" t="19050" r="17780" b="12700"/>
            <wp:wrapTight wrapText="bothSides">
              <wp:wrapPolygon edited="0">
                <wp:start x="-553" y="-762"/>
                <wp:lineTo x="-553" y="22108"/>
                <wp:lineTo x="22116" y="22108"/>
                <wp:lineTo x="22116" y="-762"/>
                <wp:lineTo x="-553" y="-762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39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8DB" w:rsidRPr="00A752B4">
        <w:rPr>
          <w:rFonts w:ascii="Tahoma" w:hAnsi="Tahoma" w:cs="Tahoma"/>
          <w:sz w:val="24"/>
          <w:szCs w:val="24"/>
        </w:rPr>
        <w:t xml:space="preserve"> Brasil é um dos países que mais descartam equipamentos eletrônicos e muitas vezes de maneiras inadequadas. Só de computadores são quase 10</w:t>
      </w:r>
      <w:r w:rsidR="00B368DB" w:rsidRPr="00A752B4">
        <w:rPr>
          <w:rFonts w:ascii="Tahoma" w:hAnsi="Tahoma" w:cs="Tahoma"/>
          <w:sz w:val="24"/>
          <w:szCs w:val="24"/>
          <w:vertAlign w:val="superscript"/>
        </w:rPr>
        <w:t>5</w:t>
      </w:r>
      <w:r w:rsidR="00B368DB" w:rsidRPr="00A752B4">
        <w:rPr>
          <w:rFonts w:ascii="Tahoma" w:hAnsi="Tahoma" w:cs="Tahoma"/>
          <w:sz w:val="24"/>
          <w:szCs w:val="24"/>
        </w:rPr>
        <w:t xml:space="preserve"> toneladas por ano. O país foi considerado pela ONU</w:t>
      </w:r>
      <w:r w:rsidR="00A752B4">
        <w:rPr>
          <w:rStyle w:val="Refdenotaderodap"/>
          <w:rFonts w:ascii="Tahoma" w:hAnsi="Tahoma" w:cs="Tahoma"/>
          <w:sz w:val="24"/>
          <w:szCs w:val="24"/>
        </w:rPr>
        <w:footnoteReference w:id="1"/>
      </w:r>
      <w:r w:rsidR="00B368DB" w:rsidRPr="00A752B4">
        <w:rPr>
          <w:rFonts w:ascii="Tahoma" w:hAnsi="Tahoma" w:cs="Tahoma"/>
          <w:sz w:val="24"/>
          <w:szCs w:val="24"/>
        </w:rPr>
        <w:t>, o mercado emergente que gera o maior volume de lixo eletrônico por pessoa, cerca de 0,23 kg por habitantes.</w:t>
      </w:r>
    </w:p>
    <w:p w:rsidR="00B368DB" w:rsidRPr="00293FCE" w:rsidRDefault="00293FCE" w:rsidP="00293FC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  <w:u w:val="words"/>
        </w:rPr>
      </w:pPr>
      <w:r w:rsidRPr="00293FCE">
        <w:rPr>
          <w:rFonts w:ascii="Arial" w:hAnsi="Arial" w:cs="Arial"/>
          <w:b/>
          <w:i/>
          <w:color w:val="FF0000"/>
          <w:sz w:val="24"/>
          <w:szCs w:val="24"/>
          <w:u w:val="words"/>
        </w:rPr>
        <w:t>Componentes do computador</w:t>
      </w:r>
    </w:p>
    <w:p w:rsidR="00293FCE" w:rsidRDefault="00730B82" w:rsidP="00730B82">
      <w:pPr>
        <w:tabs>
          <w:tab w:val="bar" w:pos="1134"/>
          <w:tab w:val="left" w:pos="1701"/>
          <w:tab w:val="right" w:leader="hyphen" w:pos="6804"/>
          <w:tab w:val="bar" w:pos="737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Metais Ferrosos</w:t>
      </w:r>
      <w:r>
        <w:rPr>
          <w:rFonts w:ascii="Arial" w:hAnsi="Arial" w:cs="Arial"/>
          <w:color w:val="000000" w:themeColor="text1"/>
          <w:sz w:val="24"/>
          <w:szCs w:val="24"/>
        </w:rPr>
        <w:tab/>
        <w:t>32%</w:t>
      </w:r>
    </w:p>
    <w:p w:rsidR="00730B82" w:rsidRDefault="00730B82" w:rsidP="00730B82">
      <w:pPr>
        <w:tabs>
          <w:tab w:val="bar" w:pos="1134"/>
          <w:tab w:val="left" w:pos="1701"/>
          <w:tab w:val="right" w:leader="hyphen" w:pos="6804"/>
          <w:tab w:val="bar" w:pos="737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Plástico</w:t>
      </w:r>
      <w:r>
        <w:rPr>
          <w:rFonts w:ascii="Arial" w:hAnsi="Arial" w:cs="Arial"/>
          <w:color w:val="000000" w:themeColor="text1"/>
          <w:sz w:val="24"/>
          <w:szCs w:val="24"/>
        </w:rPr>
        <w:tab/>
        <w:t>23%</w:t>
      </w:r>
    </w:p>
    <w:p w:rsidR="00730B82" w:rsidRDefault="00730B82" w:rsidP="00730B82">
      <w:pPr>
        <w:tabs>
          <w:tab w:val="bar" w:pos="1134"/>
          <w:tab w:val="left" w:pos="1701"/>
          <w:tab w:val="right" w:leader="hyphen" w:pos="6804"/>
          <w:tab w:val="bar" w:pos="737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Metais Não-Ferrosos</w:t>
      </w:r>
      <w:r>
        <w:rPr>
          <w:rFonts w:ascii="Arial" w:hAnsi="Arial" w:cs="Arial"/>
          <w:color w:val="000000" w:themeColor="text1"/>
          <w:sz w:val="24"/>
          <w:szCs w:val="24"/>
        </w:rPr>
        <w:tab/>
        <w:t>18%</w:t>
      </w:r>
    </w:p>
    <w:p w:rsidR="00730B82" w:rsidRDefault="00730B82" w:rsidP="00730B82">
      <w:pPr>
        <w:tabs>
          <w:tab w:val="bar" w:pos="1134"/>
          <w:tab w:val="left" w:pos="1701"/>
          <w:tab w:val="right" w:leader="hyphen" w:pos="6804"/>
          <w:tab w:val="bar" w:pos="737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Vidro</w:t>
      </w:r>
      <w:r>
        <w:rPr>
          <w:rFonts w:ascii="Arial" w:hAnsi="Arial" w:cs="Arial"/>
          <w:color w:val="000000" w:themeColor="text1"/>
          <w:sz w:val="24"/>
          <w:szCs w:val="24"/>
        </w:rPr>
        <w:tab/>
        <w:t>15%</w:t>
      </w:r>
    </w:p>
    <w:p w:rsidR="00730B82" w:rsidRDefault="00730B82" w:rsidP="00730B82">
      <w:pPr>
        <w:tabs>
          <w:tab w:val="bar" w:pos="1134"/>
          <w:tab w:val="left" w:pos="1701"/>
          <w:tab w:val="right" w:leader="hyphen" w:pos="6804"/>
          <w:tab w:val="bar" w:pos="737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Placas Eletrônicas</w:t>
      </w:r>
      <w:r>
        <w:rPr>
          <w:rFonts w:ascii="Arial" w:hAnsi="Arial" w:cs="Arial"/>
          <w:color w:val="000000" w:themeColor="text1"/>
          <w:sz w:val="24"/>
          <w:szCs w:val="24"/>
        </w:rPr>
        <w:tab/>
        <w:t>12%</w:t>
      </w:r>
    </w:p>
    <w:p w:rsidR="00300761" w:rsidRPr="00300761" w:rsidRDefault="00300761" w:rsidP="00E15F99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  <w:u w:val="double" w:color="FFFF00"/>
        </w:rPr>
      </w:pPr>
      <w:r w:rsidRPr="00300761">
        <w:rPr>
          <w:rFonts w:ascii="Arial" w:hAnsi="Arial" w:cs="Arial"/>
          <w:color w:val="00B050"/>
          <w:sz w:val="24"/>
          <w:szCs w:val="24"/>
          <w:u w:val="double" w:color="FFFF00"/>
        </w:rPr>
        <w:t>Elementos existentes em Computadores</w:t>
      </w:r>
    </w:p>
    <w:p w:rsidR="00300761" w:rsidRDefault="00E76A23" w:rsidP="0030076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Metais Ferrosos</w:t>
      </w:r>
    </w:p>
    <w:p w:rsidR="00E76A23" w:rsidRDefault="00E76A23" w:rsidP="00E76A23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Plásticos</w:t>
      </w:r>
    </w:p>
    <w:p w:rsidR="00E76A23" w:rsidRDefault="00E76A23" w:rsidP="00E76A23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Metais Não-Ferrosos</w:t>
      </w:r>
    </w:p>
    <w:p w:rsidR="00E76A23" w:rsidRDefault="00E76A23" w:rsidP="00E76A23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Cádmio</w:t>
      </w:r>
    </w:p>
    <w:p w:rsidR="00E76A23" w:rsidRDefault="00E76A23" w:rsidP="00E76A23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Mercúrio</w:t>
      </w:r>
    </w:p>
    <w:p w:rsidR="00E76A23" w:rsidRDefault="00E76A23" w:rsidP="00E76A23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Berílio</w:t>
      </w:r>
    </w:p>
    <w:p w:rsidR="00E76A23" w:rsidRDefault="00E76A23" w:rsidP="00E76A2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Vidro</w:t>
      </w:r>
    </w:p>
    <w:p w:rsidR="00E76A23" w:rsidRDefault="00E76A23" w:rsidP="00E76A2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Placas Eletrônicas</w:t>
      </w:r>
    </w:p>
    <w:p w:rsidR="00E76A23" w:rsidRDefault="00E76A23" w:rsidP="00E76A23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OURO</w:t>
      </w:r>
    </w:p>
    <w:p w:rsidR="00E76A23" w:rsidRDefault="00E76A23" w:rsidP="00E76A23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Prata</w:t>
      </w:r>
    </w:p>
    <w:p w:rsidR="00E76A23" w:rsidRDefault="00E76A23" w:rsidP="00E76A23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Platina</w:t>
      </w:r>
    </w:p>
    <w:p w:rsidR="0055316D" w:rsidRDefault="0055316D" w:rsidP="00E76A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55316D" w:rsidSect="00B06E13">
          <w:headerReference w:type="default" r:id="rId9"/>
          <w:footerReference w:type="default" r:id="rId10"/>
          <w:pgSz w:w="11906" w:h="16838" w:code="9"/>
          <w:pgMar w:top="1418" w:right="1134" w:bottom="1418" w:left="1134" w:header="709" w:footer="709" w:gutter="567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/>
      </w:tblPr>
      <w:tblGrid>
        <w:gridCol w:w="2268"/>
        <w:gridCol w:w="1701"/>
        <w:gridCol w:w="2303"/>
        <w:gridCol w:w="2303"/>
      </w:tblGrid>
      <w:tr w:rsidR="00A35041" w:rsidTr="00D4051D">
        <w:trPr>
          <w:trHeight w:val="567"/>
          <w:jc w:val="center"/>
        </w:trPr>
        <w:tc>
          <w:tcPr>
            <w:tcW w:w="8575" w:type="dxa"/>
            <w:gridSpan w:val="4"/>
            <w:tcBorders>
              <w:top w:val="double" w:sz="12" w:space="0" w:color="FF0000"/>
              <w:left w:val="double" w:sz="12" w:space="0" w:color="FF0000"/>
              <w:bottom w:val="nil"/>
              <w:right w:val="double" w:sz="12" w:space="0" w:color="FF0000"/>
            </w:tcBorders>
            <w:shd w:val="clear" w:color="auto" w:fill="A6A6A6" w:themeFill="background1" w:themeFillShade="A6"/>
            <w:vAlign w:val="center"/>
          </w:tcPr>
          <w:p w:rsidR="00A35041" w:rsidRPr="00A35041" w:rsidRDefault="00A35041" w:rsidP="00A35041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A35041">
              <w:rPr>
                <w:rFonts w:ascii="Arial" w:hAnsi="Arial" w:cs="Arial"/>
                <w:b/>
                <w:color w:val="00B050"/>
                <w:sz w:val="32"/>
                <w:szCs w:val="32"/>
              </w:rPr>
              <w:lastRenderedPageBreak/>
              <w:t>Impactos Ambientais</w:t>
            </w:r>
          </w:p>
        </w:tc>
      </w:tr>
      <w:tr w:rsidR="00A35041" w:rsidRPr="00A35041" w:rsidTr="00D4051D">
        <w:trPr>
          <w:trHeight w:val="454"/>
          <w:jc w:val="center"/>
        </w:trPr>
        <w:tc>
          <w:tcPr>
            <w:tcW w:w="8575" w:type="dxa"/>
            <w:gridSpan w:val="4"/>
            <w:tcBorders>
              <w:top w:val="nil"/>
              <w:left w:val="double" w:sz="12" w:space="0" w:color="FF0000"/>
              <w:bottom w:val="single" w:sz="12" w:space="0" w:color="FF0000"/>
              <w:right w:val="double" w:sz="12" w:space="0" w:color="FF0000"/>
            </w:tcBorders>
            <w:shd w:val="clear" w:color="auto" w:fill="A6A6A6" w:themeFill="background1" w:themeFillShade="A6"/>
            <w:vAlign w:val="center"/>
          </w:tcPr>
          <w:p w:rsidR="00A35041" w:rsidRPr="00A35041" w:rsidRDefault="00A35041" w:rsidP="00A35041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A35041">
              <w:rPr>
                <w:rFonts w:ascii="Arial" w:hAnsi="Arial" w:cs="Arial"/>
                <w:b/>
                <w:color w:val="C00000"/>
                <w:sz w:val="28"/>
                <w:szCs w:val="28"/>
              </w:rPr>
              <w:t>Índice de Resíduos Sólidos</w:t>
            </w:r>
          </w:p>
        </w:tc>
      </w:tr>
      <w:tr w:rsidR="00203736" w:rsidRPr="00B01045" w:rsidTr="00D4051D">
        <w:trPr>
          <w:trHeight w:val="454"/>
          <w:jc w:val="center"/>
        </w:trPr>
        <w:tc>
          <w:tcPr>
            <w:tcW w:w="2268" w:type="dxa"/>
            <w:tcBorders>
              <w:top w:val="single" w:sz="12" w:space="0" w:color="FF0000"/>
              <w:left w:val="double" w:sz="12" w:space="0" w:color="FF0000"/>
              <w:bottom w:val="single" w:sz="12" w:space="0" w:color="FF0000"/>
              <w:right w:val="single" w:sz="4" w:space="0" w:color="0D0D0D" w:themeColor="text1" w:themeTint="F2"/>
            </w:tcBorders>
            <w:shd w:val="clear" w:color="auto" w:fill="A6A6A6" w:themeFill="background1" w:themeFillShade="A6"/>
            <w:vAlign w:val="center"/>
          </w:tcPr>
          <w:p w:rsidR="00203736" w:rsidRPr="00B01045" w:rsidRDefault="00203736" w:rsidP="00B0104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010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País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4" w:space="0" w:color="0D0D0D" w:themeColor="text1" w:themeTint="F2"/>
              <w:bottom w:val="single" w:sz="12" w:space="0" w:color="FF0000"/>
              <w:right w:val="single" w:sz="4" w:space="0" w:color="0D0D0D" w:themeColor="text1" w:themeTint="F2"/>
            </w:tcBorders>
            <w:shd w:val="clear" w:color="auto" w:fill="A6A6A6" w:themeFill="background1" w:themeFillShade="A6"/>
            <w:vAlign w:val="center"/>
          </w:tcPr>
          <w:p w:rsidR="00203736" w:rsidRPr="00B01045" w:rsidRDefault="00203736" w:rsidP="00B0104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010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Estados</w:t>
            </w:r>
          </w:p>
        </w:tc>
        <w:tc>
          <w:tcPr>
            <w:tcW w:w="2303" w:type="dxa"/>
            <w:tcBorders>
              <w:top w:val="single" w:sz="12" w:space="0" w:color="FF0000"/>
              <w:left w:val="single" w:sz="4" w:space="0" w:color="0D0D0D" w:themeColor="text1" w:themeTint="F2"/>
              <w:bottom w:val="single" w:sz="12" w:space="0" w:color="FF0000"/>
              <w:right w:val="single" w:sz="4" w:space="0" w:color="0D0D0D" w:themeColor="text1" w:themeTint="F2"/>
            </w:tcBorders>
            <w:shd w:val="clear" w:color="auto" w:fill="A6A6A6" w:themeFill="background1" w:themeFillShade="A6"/>
            <w:vAlign w:val="center"/>
          </w:tcPr>
          <w:p w:rsidR="00203736" w:rsidRPr="00B01045" w:rsidRDefault="00203736" w:rsidP="00B0104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010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Região Geográfica</w:t>
            </w:r>
          </w:p>
        </w:tc>
        <w:tc>
          <w:tcPr>
            <w:tcW w:w="2303" w:type="dxa"/>
            <w:tcBorders>
              <w:top w:val="single" w:sz="12" w:space="0" w:color="FF0000"/>
              <w:left w:val="single" w:sz="4" w:space="0" w:color="0D0D0D" w:themeColor="text1" w:themeTint="F2"/>
              <w:bottom w:val="single" w:sz="12" w:space="0" w:color="FF0000"/>
              <w:right w:val="double" w:sz="12" w:space="0" w:color="FF0000"/>
            </w:tcBorders>
            <w:shd w:val="clear" w:color="auto" w:fill="A6A6A6" w:themeFill="background1" w:themeFillShade="A6"/>
            <w:vAlign w:val="center"/>
          </w:tcPr>
          <w:p w:rsidR="00203736" w:rsidRPr="00B01045" w:rsidRDefault="00203736" w:rsidP="00B0104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010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D4388C" w:rsidTr="00D4051D">
        <w:trPr>
          <w:jc w:val="center"/>
        </w:trPr>
        <w:tc>
          <w:tcPr>
            <w:tcW w:w="2268" w:type="dxa"/>
            <w:vMerge w:val="restart"/>
            <w:tcBorders>
              <w:top w:val="single" w:sz="12" w:space="0" w:color="FF0000"/>
              <w:left w:val="double" w:sz="12" w:space="0" w:color="FF0000"/>
            </w:tcBorders>
            <w:textDirection w:val="btLr"/>
            <w:vAlign w:val="center"/>
          </w:tcPr>
          <w:p w:rsidR="00D4388C" w:rsidRPr="00D4388C" w:rsidRDefault="00D4388C" w:rsidP="00D4388C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D4388C">
              <w:rPr>
                <w:rFonts w:ascii="Arial" w:hAnsi="Arial" w:cs="Arial"/>
                <w:color w:val="000000" w:themeColor="text1"/>
              </w:rPr>
              <w:t>BRASIL</w:t>
            </w:r>
          </w:p>
        </w:tc>
        <w:tc>
          <w:tcPr>
            <w:tcW w:w="1701" w:type="dxa"/>
            <w:tcBorders>
              <w:top w:val="sing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</w:t>
            </w:r>
          </w:p>
        </w:tc>
        <w:tc>
          <w:tcPr>
            <w:tcW w:w="2303" w:type="dxa"/>
            <w:tcBorders>
              <w:top w:val="sing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NE</w:t>
            </w:r>
          </w:p>
        </w:tc>
        <w:tc>
          <w:tcPr>
            <w:tcW w:w="2303" w:type="dxa"/>
            <w:tcBorders>
              <w:top w:val="single" w:sz="12" w:space="0" w:color="FF0000"/>
              <w:right w:val="doub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42</w:t>
            </w:r>
          </w:p>
        </w:tc>
      </w:tr>
      <w:tr w:rsidR="00D4388C" w:rsidTr="00D4051D">
        <w:trPr>
          <w:jc w:val="center"/>
        </w:trPr>
        <w:tc>
          <w:tcPr>
            <w:tcW w:w="2268" w:type="dxa"/>
            <w:vMerge/>
            <w:tcBorders>
              <w:left w:val="doub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SC</w:t>
            </w:r>
          </w:p>
        </w:tc>
        <w:tc>
          <w:tcPr>
            <w:tcW w:w="2303" w:type="dxa"/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303" w:type="dxa"/>
            <w:tcBorders>
              <w:right w:val="doub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</w:tr>
      <w:tr w:rsidR="00D4388C" w:rsidTr="00D4051D">
        <w:trPr>
          <w:jc w:val="center"/>
        </w:trPr>
        <w:tc>
          <w:tcPr>
            <w:tcW w:w="2268" w:type="dxa"/>
            <w:vMerge/>
            <w:tcBorders>
              <w:left w:val="doub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MG</w:t>
            </w:r>
          </w:p>
        </w:tc>
        <w:tc>
          <w:tcPr>
            <w:tcW w:w="2303" w:type="dxa"/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2303" w:type="dxa"/>
            <w:tcBorders>
              <w:right w:val="doub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</w:p>
        </w:tc>
      </w:tr>
      <w:tr w:rsidR="00D4388C" w:rsidTr="00D4051D">
        <w:trPr>
          <w:jc w:val="center"/>
        </w:trPr>
        <w:tc>
          <w:tcPr>
            <w:tcW w:w="2268" w:type="dxa"/>
            <w:vMerge/>
            <w:tcBorders>
              <w:left w:val="double" w:sz="12" w:space="0" w:color="FF0000"/>
              <w:bottom w:val="single" w:sz="4" w:space="0" w:color="000000" w:themeColor="text1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TO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303" w:type="dxa"/>
            <w:tcBorders>
              <w:bottom w:val="single" w:sz="4" w:space="0" w:color="000000" w:themeColor="text1"/>
              <w:right w:val="double" w:sz="12" w:space="0" w:color="FF0000"/>
            </w:tcBorders>
            <w:vAlign w:val="center"/>
          </w:tcPr>
          <w:p w:rsidR="00D4388C" w:rsidRDefault="00D4388C" w:rsidP="00B010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</w:tr>
      <w:tr w:rsidR="00A569EB" w:rsidTr="00D4051D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 w:themeColor="text1"/>
              <w:left w:val="double" w:sz="12" w:space="0" w:color="FF0000"/>
              <w:bottom w:val="double" w:sz="12" w:space="0" w:color="FF0000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A569EB" w:rsidRPr="00A569EB" w:rsidRDefault="00A569EB" w:rsidP="00A569E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6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03" w:type="dxa"/>
            <w:tcBorders>
              <w:left w:val="single" w:sz="4" w:space="0" w:color="000000" w:themeColor="text1"/>
              <w:bottom w:val="double" w:sz="12" w:space="0" w:color="FF0000"/>
              <w:right w:val="double" w:sz="12" w:space="0" w:color="FF0000"/>
            </w:tcBorders>
            <w:shd w:val="clear" w:color="auto" w:fill="A6A6A6" w:themeFill="background1" w:themeFillShade="A6"/>
            <w:vAlign w:val="center"/>
          </w:tcPr>
          <w:p w:rsidR="00A569EB" w:rsidRDefault="00D4388C" w:rsidP="00D4051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124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8B7FA9" w:rsidRDefault="008B7FA9" w:rsidP="00E76A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8B7FA9" w:rsidSect="008B7FA9">
          <w:pgSz w:w="16838" w:h="11906" w:orient="landscape" w:code="9"/>
          <w:pgMar w:top="1134" w:right="1418" w:bottom="1134" w:left="1418" w:header="709" w:footer="709" w:gutter="567"/>
          <w:pgBorders w:offsetFrom="page">
            <w:top w:val="double" w:sz="12" w:space="24" w:color="548DD4" w:themeColor="text2" w:themeTint="99"/>
            <w:left w:val="double" w:sz="12" w:space="24" w:color="548DD4" w:themeColor="text2" w:themeTint="99"/>
            <w:bottom w:val="double" w:sz="12" w:space="24" w:color="548DD4" w:themeColor="text2" w:themeTint="99"/>
            <w:right w:val="double" w:sz="12" w:space="24" w:color="548DD4" w:themeColor="text2" w:themeTint="99"/>
          </w:pgBorders>
          <w:cols w:space="708"/>
          <w:docGrid w:linePitch="360"/>
        </w:sectPr>
      </w:pPr>
    </w:p>
    <w:p w:rsidR="00E76A23" w:rsidRPr="00E76A23" w:rsidRDefault="008B7FA9" w:rsidP="00E76A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Ferramenta pincel: Copia a formatação de um local para o outro.</w:t>
      </w:r>
    </w:p>
    <w:sectPr w:rsidR="00E76A23" w:rsidRPr="00E76A23" w:rsidSect="00B06E13">
      <w:pgSz w:w="11906" w:h="16838" w:code="9"/>
      <w:pgMar w:top="1418" w:right="1134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18" w:rsidRDefault="00004518" w:rsidP="00A752B4">
      <w:pPr>
        <w:spacing w:after="0" w:line="240" w:lineRule="auto"/>
      </w:pPr>
      <w:r>
        <w:separator/>
      </w:r>
    </w:p>
  </w:endnote>
  <w:endnote w:type="continuationSeparator" w:id="0">
    <w:p w:rsidR="00004518" w:rsidRDefault="00004518" w:rsidP="00A7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1D" w:rsidRPr="00B41B3F" w:rsidRDefault="00B41B3F">
    <w:pPr>
      <w:pStyle w:val="Rodap"/>
      <w:rPr>
        <w:rFonts w:ascii="Arial" w:hAnsi="Arial" w:cs="Arial"/>
        <w:color w:val="808080" w:themeColor="background1" w:themeShade="80"/>
        <w:sz w:val="16"/>
        <w:szCs w:val="16"/>
      </w:rPr>
    </w:pPr>
    <w:r w:rsidRPr="00B41B3F">
      <w:rPr>
        <w:rFonts w:ascii="Arial" w:hAnsi="Arial" w:cs="Arial"/>
        <w:color w:val="808080" w:themeColor="background1" w:themeShade="80"/>
        <w:sz w:val="16"/>
        <w:szCs w:val="16"/>
      </w:rPr>
      <w:t xml:space="preserve">Página: </w:t>
    </w:r>
    <w:r w:rsidR="00D4051D" w:rsidRPr="00B41B3F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="00D4051D" w:rsidRPr="00B41B3F">
      <w:rPr>
        <w:rFonts w:ascii="Arial" w:hAnsi="Arial" w:cs="Arial"/>
        <w:color w:val="808080" w:themeColor="background1" w:themeShade="80"/>
        <w:sz w:val="16"/>
        <w:szCs w:val="16"/>
      </w:rPr>
      <w:instrText xml:space="preserve"> PAGE   \* MERGEFORMAT </w:instrText>
    </w:r>
    <w:r w:rsidR="00D4051D" w:rsidRPr="00B41B3F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DA746A">
      <w:rPr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="00D4051D" w:rsidRPr="00B41B3F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:rsidR="00B41B3F" w:rsidRPr="00B41B3F" w:rsidRDefault="00B41B3F">
    <w:pPr>
      <w:pStyle w:val="Rodap"/>
      <w:rPr>
        <w:rFonts w:ascii="Arial" w:hAnsi="Arial" w:cs="Arial"/>
        <w:color w:val="808080" w:themeColor="background1" w:themeShade="80"/>
        <w:sz w:val="16"/>
        <w:szCs w:val="16"/>
      </w:rPr>
    </w:pPr>
    <w:fldSimple w:instr=" FILENAME  \* Upper  \* MERGEFORMAT ">
      <w:r w:rsidRPr="00B41B3F">
        <w:rPr>
          <w:rFonts w:ascii="Arial" w:hAnsi="Arial" w:cs="Arial"/>
          <w:noProof/>
          <w:color w:val="808080" w:themeColor="background1" w:themeShade="80"/>
          <w:sz w:val="16"/>
          <w:szCs w:val="16"/>
        </w:rPr>
        <w:t>TALITA SANTOS 2015.1</w:t>
      </w:r>
    </w:fldSimple>
  </w:p>
  <w:p w:rsidR="00D4051D" w:rsidRDefault="00D405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18" w:rsidRDefault="00004518" w:rsidP="00A752B4">
      <w:pPr>
        <w:spacing w:after="0" w:line="240" w:lineRule="auto"/>
      </w:pPr>
      <w:r>
        <w:separator/>
      </w:r>
    </w:p>
  </w:footnote>
  <w:footnote w:type="continuationSeparator" w:id="0">
    <w:p w:rsidR="00004518" w:rsidRDefault="00004518" w:rsidP="00A752B4">
      <w:pPr>
        <w:spacing w:after="0" w:line="240" w:lineRule="auto"/>
      </w:pPr>
      <w:r>
        <w:continuationSeparator/>
      </w:r>
    </w:p>
  </w:footnote>
  <w:footnote w:id="1">
    <w:p w:rsidR="00A752B4" w:rsidRDefault="00A752B4">
      <w:pPr>
        <w:pStyle w:val="Textodenotaderodap"/>
      </w:pPr>
      <w:r>
        <w:rPr>
          <w:rStyle w:val="Refdenotaderodap"/>
        </w:rPr>
        <w:footnoteRef/>
      </w:r>
      <w:r>
        <w:t xml:space="preserve"> Organizações Mundial das Nações Unidas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1D" w:rsidRPr="00D4051D" w:rsidRDefault="00D4051D" w:rsidP="00D4051D">
    <w:pPr>
      <w:pStyle w:val="Cabealho"/>
      <w:pBdr>
        <w:top w:val="double" w:sz="12" w:space="1" w:color="FF0000"/>
        <w:bottom w:val="double" w:sz="12" w:space="1" w:color="FF0000"/>
      </w:pBdr>
      <w:shd w:val="clear" w:color="auto" w:fill="A6A6A6" w:themeFill="background1" w:themeFillShade="A6"/>
      <w:jc w:val="right"/>
      <w:rPr>
        <w:rFonts w:ascii="Arial" w:hAnsi="Arial" w:cs="Arial"/>
        <w:color w:val="C00000"/>
        <w:sz w:val="28"/>
        <w:szCs w:val="28"/>
      </w:rPr>
    </w:pPr>
    <w:r w:rsidRPr="00D4051D">
      <w:rPr>
        <w:rFonts w:ascii="Arial" w:hAnsi="Arial" w:cs="Arial"/>
        <w:color w:val="C00000"/>
        <w:sz w:val="28"/>
        <w:szCs w:val="28"/>
      </w:rPr>
      <w:t>TALITA SANTOS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56F0"/>
    <w:multiLevelType w:val="multilevel"/>
    <w:tmpl w:val="82209720"/>
    <w:lvl w:ilvl="0">
      <w:start w:val="1"/>
      <w:numFmt w:val="decimal"/>
      <w:lvlText w:val="C%1)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8DB"/>
    <w:rsid w:val="00004518"/>
    <w:rsid w:val="001A0979"/>
    <w:rsid w:val="00203736"/>
    <w:rsid w:val="00243A3F"/>
    <w:rsid w:val="00275773"/>
    <w:rsid w:val="00293FCE"/>
    <w:rsid w:val="00300761"/>
    <w:rsid w:val="003E5F6A"/>
    <w:rsid w:val="004E56D8"/>
    <w:rsid w:val="0055316D"/>
    <w:rsid w:val="00730B82"/>
    <w:rsid w:val="007E731D"/>
    <w:rsid w:val="008B7FA9"/>
    <w:rsid w:val="009C1CD8"/>
    <w:rsid w:val="00A07306"/>
    <w:rsid w:val="00A35041"/>
    <w:rsid w:val="00A469FF"/>
    <w:rsid w:val="00A569EB"/>
    <w:rsid w:val="00A752B4"/>
    <w:rsid w:val="00A96C9D"/>
    <w:rsid w:val="00B01045"/>
    <w:rsid w:val="00B06E13"/>
    <w:rsid w:val="00B368DB"/>
    <w:rsid w:val="00B41B3F"/>
    <w:rsid w:val="00B7602D"/>
    <w:rsid w:val="00CA1313"/>
    <w:rsid w:val="00CF3A79"/>
    <w:rsid w:val="00D4051D"/>
    <w:rsid w:val="00D4388C"/>
    <w:rsid w:val="00DA746A"/>
    <w:rsid w:val="00E05FE6"/>
    <w:rsid w:val="00E15F99"/>
    <w:rsid w:val="00E215A5"/>
    <w:rsid w:val="00E76A23"/>
    <w:rsid w:val="00FD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52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52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52B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9F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0761"/>
    <w:pPr>
      <w:ind w:left="720"/>
      <w:contextualSpacing/>
    </w:pPr>
  </w:style>
  <w:style w:type="table" w:styleId="Tabelacomgrade">
    <w:name w:val="Table Grid"/>
    <w:basedOn w:val="Tabelanormal"/>
    <w:uiPriority w:val="59"/>
    <w:rsid w:val="00203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40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051D"/>
  </w:style>
  <w:style w:type="paragraph" w:styleId="Rodap">
    <w:name w:val="footer"/>
    <w:basedOn w:val="Normal"/>
    <w:link w:val="RodapChar"/>
    <w:uiPriority w:val="99"/>
    <w:semiHidden/>
    <w:unhideWhenUsed/>
    <w:rsid w:val="00D40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40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5CA5-0ACB-4D1B-8421-403E5B69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2015-04-20T14:18:00Z</dcterms:created>
  <dcterms:modified xsi:type="dcterms:W3CDTF">2015-04-20T14:18:00Z</dcterms:modified>
</cp:coreProperties>
</file>